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1/23/2025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Elizabeth Loyd, Marian Stonehocker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 and Robert Johnson.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special meeting of the Trout Creek School Board at </w:t>
        <w:tab/>
        <w:tab/>
        <w:t xml:space="preserve">7:04 p.m. on 1/23/25 in a Zoom Meeting.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Mr. Rasor asked for public comment: No Comments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Adjustment to the Order: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  </w:t>
      </w:r>
      <w:r w:rsidDel="00000000" w:rsidR="00000000" w:rsidRPr="00000000">
        <w:rPr>
          <w:rtl w:val="0"/>
        </w:rPr>
        <w:t xml:space="preserve">Mrs. Loyd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TCS Classified Employment Matrix: 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240" w:lineRule="auto"/>
        <w:ind w:left="18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Heads: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provided the Board with a copy of what the hourly rates are currently and how the new rate would change the budgetary expenditures. Effective 2/1/25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line="240" w:lineRule="auto"/>
        <w:ind w:left="18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Secretary: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provided the Board with a copy of what the hourly rates are currently and how the new rate would change the budgetary expenditures. Effective 2/1/25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increase of both the Department Head hourly rate from $15 to $18 an hour and the secretary from $14 to $15 an hour for the starting rates as presented. Effective 2/1/25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 Mrs. Stonehocker.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line="240" w:lineRule="auto"/>
        <w:ind w:left="18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Custodial Sub Pay: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Discussion about the Custodial position was had with the Board informing them of the difficulty to get individuals to work as a sub for $13 per hour. Mr. Johnson requested that the rate for Custodial substitutes be increased from $13 to $14 per hour. Effective 1/24/25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increase in pay for Custodial Substitutes as presented.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 Mrs. Loyd.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Cancellation of Extracurricular checks: 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240" w:lineRule="auto"/>
        <w:ind w:left="18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Sanders County Ledger - $167.50: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provided information to the Board on the status of the Sanders County Ledger accounts recievable being at $0.00 at this time and that this amount was paid already.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40" w:lineRule="auto"/>
        <w:ind w:left="18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Sysco - $120.94:</w:t>
      </w:r>
    </w:p>
    <w:p w:rsidR="00000000" w:rsidDel="00000000" w:rsidP="00000000" w:rsidRDefault="00000000" w:rsidRPr="00000000" w14:paraId="0000002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provided information to the Board on the status of the Sysco accounts recievable being at $0.00 at this time and that this amount was paid already.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cancellation of both the Sanders County Ledger check and the Sysco Check with the General fund paying the cancellation fees of $25 each.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 Mrs. Stonehocker.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240" w:lineRule="auto"/>
        <w:ind w:left="180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 Carole Jensen $87.50: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Discussion was had with this and Mr. Johnson will try to contact Mrs. Jensen and if no response is received this will be on the regular February board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7:20 p.m.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Next Regular Board Meeting is scheduled for Tuesday, February 11, 2025.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</w:t>
        <w:tab/>
        <w:t xml:space="preserve">___________________________________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</w:t>
        <w:tab/>
        <w:t xml:space="preserve">Date</w:t>
        <w:tab/>
        <w:tab/>
        <w:t xml:space="preserve">Robert Johnson, District Clerk    </w:t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